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CDC046" w14:textId="77777777" w:rsidR="00F447C2" w:rsidRDefault="00000000">
      <w:pPr>
        <w:pStyle w:val="Titel"/>
        <w:spacing w:after="160"/>
      </w:pPr>
      <w:r>
        <w:rPr>
          <w:b/>
          <w:bCs/>
          <w:color w:val="8B1E2D"/>
          <w:sz w:val="34"/>
          <w:szCs w:val="34"/>
        </w:rPr>
        <w:t>West Nile-virus: verhoogde waakzaamheid geboden bij paarden deze zomer</w:t>
      </w:r>
    </w:p>
    <w:p w14:paraId="1055F614" w14:textId="061325CE" w:rsidR="00F447C2" w:rsidRDefault="00000000">
      <w:pPr>
        <w:spacing w:after="120" w:line="264" w:lineRule="auto"/>
        <w:rPr>
          <w:i/>
          <w:iCs/>
          <w:color w:val="222222"/>
        </w:rPr>
      </w:pPr>
      <w:r>
        <w:rPr>
          <w:i/>
          <w:iCs/>
          <w:color w:val="222222"/>
        </w:rPr>
        <w:t xml:space="preserve">Op 4 augustus 2026 werd een paard in de Brusselse rand geëuthanaseerd na een acuut neurologisch ziektebeeld. In de pers en via de Union Professionnelle Vétérinaire (UPV) circuleerde nadien het bericht dat dit het eerste bevestigde equine geval van West Nile-virus (WNV) in België zou zijn. </w:t>
      </w:r>
      <w:r w:rsidRPr="00491703">
        <w:rPr>
          <w:b/>
          <w:bCs/>
          <w:i/>
          <w:iCs/>
          <w:color w:val="222222"/>
        </w:rPr>
        <w:t>Navraag bij het FAVV leert dat dat niet klopt</w:t>
      </w:r>
      <w:r>
        <w:rPr>
          <w:i/>
          <w:iCs/>
          <w:color w:val="222222"/>
        </w:rPr>
        <w:t>: het agentschap bevestigt wel neurologische symptomen en de aanwezigheid van antistoffen tegen flavivirussen bij dit dier, maar spreekt nog niet van een bevestigd WNV-geval zolang bijkomende analyses lopen. Voor dierenartsen is dit een goed moment om alert te zijn op neurologische symptomen bij paarden en om laagdrempelig te melden bij twijfel.</w:t>
      </w:r>
    </w:p>
    <w:p w14:paraId="53287314" w14:textId="55222276" w:rsidR="00491703" w:rsidRDefault="00491703">
      <w:pPr>
        <w:spacing w:after="120" w:line="264" w:lineRule="auto"/>
      </w:pPr>
      <w:r>
        <w:rPr>
          <w:i/>
          <w:iCs/>
          <w:color w:val="222222"/>
        </w:rPr>
        <w:t>Deze tekst geeft de stand van zaken weer op 7 augustus 2026. Op het moment dat u dit leest, kan de situatie intussen gewijzigd zijn.</w:t>
      </w:r>
    </w:p>
    <w:p w14:paraId="4CCE1D07" w14:textId="77777777" w:rsidR="00F447C2" w:rsidRDefault="00000000">
      <w:pPr>
        <w:pStyle w:val="Kop2"/>
        <w:spacing w:before="200" w:after="90"/>
      </w:pPr>
      <w:r>
        <w:rPr>
          <w:b/>
          <w:bCs/>
          <w:color w:val="8B1E2D"/>
          <w:sz w:val="23"/>
          <w:szCs w:val="23"/>
        </w:rPr>
        <w:t>Het gemelde geval</w:t>
      </w:r>
    </w:p>
    <w:p w14:paraId="1A3C857D" w14:textId="77777777" w:rsidR="00F447C2" w:rsidRDefault="00000000">
      <w:pPr>
        <w:spacing w:after="50" w:line="258" w:lineRule="auto"/>
      </w:pPr>
      <w:r>
        <w:rPr>
          <w:b/>
          <w:bCs/>
        </w:rPr>
        <w:t xml:space="preserve">Regio: </w:t>
      </w:r>
      <w:r>
        <w:t>Brussel (Brusselse rand)</w:t>
      </w:r>
    </w:p>
    <w:p w14:paraId="1ED9CE20" w14:textId="77777777" w:rsidR="00F447C2" w:rsidRDefault="00000000">
      <w:pPr>
        <w:spacing w:after="50" w:line="258" w:lineRule="auto"/>
      </w:pPr>
      <w:r>
        <w:rPr>
          <w:b/>
          <w:bCs/>
        </w:rPr>
        <w:t xml:space="preserve">Datum eerste symptomen: </w:t>
      </w:r>
      <w:r>
        <w:t>04/08/2026</w:t>
      </w:r>
    </w:p>
    <w:p w14:paraId="24C56091" w14:textId="77777777" w:rsidR="00F447C2" w:rsidRDefault="00000000">
      <w:pPr>
        <w:spacing w:after="50" w:line="258" w:lineRule="auto"/>
      </w:pPr>
      <w:r>
        <w:rPr>
          <w:b/>
          <w:bCs/>
        </w:rPr>
        <w:t xml:space="preserve">Klinische symptomen: </w:t>
      </w:r>
      <w:r>
        <w:t>ataxie, stijve nek, spiertrillingen, gevolgd door blindheid en opwinding; het dier werd geëuthanaseerd</w:t>
      </w:r>
    </w:p>
    <w:p w14:paraId="43166455" w14:textId="77777777" w:rsidR="00F447C2" w:rsidRDefault="00000000">
      <w:pPr>
        <w:spacing w:after="50" w:line="258" w:lineRule="auto"/>
      </w:pPr>
      <w:r>
        <w:rPr>
          <w:b/>
          <w:bCs/>
        </w:rPr>
        <w:t xml:space="preserve">Vaccinatie en reizen buiten België: </w:t>
      </w:r>
      <w:r>
        <w:t>neen</w:t>
      </w:r>
    </w:p>
    <w:p w14:paraId="4D13D98F" w14:textId="77777777" w:rsidR="00F447C2" w:rsidRDefault="00000000">
      <w:pPr>
        <w:spacing w:after="120" w:line="264" w:lineRule="auto"/>
      </w:pPr>
      <w:r>
        <w:t>Dit klinisch beeld is kenmerkend voor de neurologische vorm van een WNV-infectie (zie verder).</w:t>
      </w:r>
    </w:p>
    <w:p w14:paraId="0D8E2422" w14:textId="77777777" w:rsidR="00F447C2" w:rsidRDefault="00000000">
      <w:pPr>
        <w:pStyle w:val="Kop2"/>
        <w:spacing w:before="200" w:after="90"/>
      </w:pPr>
      <w:r>
        <w:rPr>
          <w:b/>
          <w:bCs/>
          <w:color w:val="8B1E2D"/>
          <w:sz w:val="23"/>
          <w:szCs w:val="23"/>
        </w:rPr>
        <w:t>Het virus circuleert al langer in België</w:t>
      </w:r>
    </w:p>
    <w:p w14:paraId="210CF662" w14:textId="77777777" w:rsidR="00F447C2" w:rsidRDefault="00000000">
      <w:pPr>
        <w:spacing w:after="120" w:line="264" w:lineRule="auto"/>
      </w:pPr>
      <w:r>
        <w:t>In 2025 testten drie kraaiachtigen in Vlaanderen (regio Mechelen, Hombeek en Meise) voor het eerst positief op WNV (lijn 2), de eerste bevestigde detectie van het virus in het land. Ook dit jaar werden nieuwe positieve vogels gemeld, onder meer na onderzoek van een vogel die werd binnengebracht in een opvangcentrum (CREAVES) in de regio Gembloux. Het patroon is bekend uit andere Europese landen: eerst vogels, dan paarden, later mogelijk mensen.</w:t>
      </w:r>
    </w:p>
    <w:p w14:paraId="0954D2C4" w14:textId="77777777" w:rsidR="00F447C2" w:rsidRDefault="00000000">
      <w:pPr>
        <w:spacing w:after="120" w:line="264" w:lineRule="auto"/>
      </w:pPr>
      <w:r>
        <w:t>Paarden ontwikkelen vaak vroeger en vaker symptomen dan mensen en fungeren daardoor als signaaldier voor de volksgezondheid. Dat maakt klinische waakzaamheid bij paarden extra belangrijk deze zomer.</w:t>
      </w:r>
    </w:p>
    <w:p w14:paraId="16264F6B" w14:textId="77777777" w:rsidR="00F447C2" w:rsidRDefault="00000000">
      <w:pPr>
        <w:pStyle w:val="Kop2"/>
        <w:spacing w:before="200" w:after="90"/>
      </w:pPr>
      <w:r>
        <w:rPr>
          <w:b/>
          <w:bCs/>
          <w:color w:val="8B1E2D"/>
          <w:sz w:val="23"/>
          <w:szCs w:val="23"/>
        </w:rPr>
        <w:t>Klinisch beeld: waar dierenartsen op moeten letten</w:t>
      </w:r>
    </w:p>
    <w:p w14:paraId="56C187C6" w14:textId="77777777" w:rsidR="00F447C2" w:rsidRDefault="00000000">
      <w:pPr>
        <w:spacing w:after="120" w:line="264" w:lineRule="auto"/>
      </w:pPr>
      <w:r>
        <w:t>Bij het paard verloopt een infectie meestal onopgemerkt: meer dan 80% van de gevallen is subklinisch of beperkt zich tot aspecifieke tekens zoals koorts, anorexie, lusteloosheid of epifora, soms met buikongemak dat aanvankelijk voor koliek wordt aangezien. Slechts 10 à 20% ontwikkelt neurologische symptomen, met een mortaliteit van 30 tot 45% binnen die groep. Ken de belangrijkste tekens:</w:t>
      </w:r>
    </w:p>
    <w:p w14:paraId="598290D8" w14:textId="77777777" w:rsidR="00F447C2" w:rsidRDefault="00000000">
      <w:pPr>
        <w:pStyle w:val="Lijstalinea"/>
        <w:numPr>
          <w:ilvl w:val="0"/>
          <w:numId w:val="2"/>
        </w:numPr>
        <w:spacing w:after="50" w:line="258" w:lineRule="auto"/>
      </w:pPr>
      <w:r>
        <w:t>ataxie (57 tot 100%), symmetrisch of niet, één of meerdere ledematen</w:t>
      </w:r>
    </w:p>
    <w:p w14:paraId="00FB871D" w14:textId="77777777" w:rsidR="00F447C2" w:rsidRDefault="00000000">
      <w:pPr>
        <w:pStyle w:val="Lijstalinea"/>
        <w:numPr>
          <w:ilvl w:val="0"/>
          <w:numId w:val="2"/>
        </w:numPr>
        <w:spacing w:after="50" w:line="258" w:lineRule="auto"/>
      </w:pPr>
      <w:r>
        <w:t>zwakte tot verlamming (30 tot 100%)</w:t>
      </w:r>
    </w:p>
    <w:p w14:paraId="4C7B1271" w14:textId="77777777" w:rsidR="00F447C2" w:rsidRDefault="00000000">
      <w:pPr>
        <w:pStyle w:val="Lijstalinea"/>
        <w:numPr>
          <w:ilvl w:val="0"/>
          <w:numId w:val="2"/>
        </w:numPr>
        <w:spacing w:after="50" w:line="258" w:lineRule="auto"/>
      </w:pPr>
      <w:r>
        <w:t>spierfasciculaties (42 tot 100%), vooral ter hoogte van hoofd en hals</w:t>
      </w:r>
    </w:p>
    <w:p w14:paraId="287F47A7" w14:textId="77777777" w:rsidR="00F447C2" w:rsidRDefault="00000000">
      <w:pPr>
        <w:pStyle w:val="Lijstalinea"/>
        <w:numPr>
          <w:ilvl w:val="0"/>
          <w:numId w:val="2"/>
        </w:numPr>
        <w:spacing w:after="50" w:line="258" w:lineRule="auto"/>
      </w:pPr>
      <w:r>
        <w:t>bewustzijnsveranderingen (67%): hyperexcitabiliteit of sufheid, convulsies</w:t>
      </w:r>
    </w:p>
    <w:p w14:paraId="35ECA55D" w14:textId="77777777" w:rsidR="00F447C2" w:rsidRDefault="00000000">
      <w:pPr>
        <w:pStyle w:val="Lijstalinea"/>
        <w:numPr>
          <w:ilvl w:val="0"/>
          <w:numId w:val="2"/>
        </w:numPr>
        <w:spacing w:after="50" w:line="258" w:lineRule="auto"/>
      </w:pPr>
      <w:r>
        <w:t>gedragsveranderingen: bruxisme (20%), doelloos of cirkelvormig lopen, hyperesthesie, desoriëntatie</w:t>
      </w:r>
    </w:p>
    <w:p w14:paraId="5290B681" w14:textId="77777777" w:rsidR="00F447C2" w:rsidRDefault="00000000">
      <w:pPr>
        <w:pStyle w:val="Lijstalinea"/>
        <w:numPr>
          <w:ilvl w:val="0"/>
          <w:numId w:val="2"/>
        </w:numPr>
        <w:spacing w:after="50" w:line="258" w:lineRule="auto"/>
      </w:pPr>
      <w:r>
        <w:t>uitval van hersenzenuwen (44%): faciale parese, vestibulaire ataxie, dysfagie, centrale blindheid</w:t>
      </w:r>
    </w:p>
    <w:p w14:paraId="14B644EA" w14:textId="77777777" w:rsidR="00F447C2" w:rsidRDefault="00000000">
      <w:pPr>
        <w:pStyle w:val="Lijstalinea"/>
        <w:numPr>
          <w:ilvl w:val="0"/>
          <w:numId w:val="2"/>
        </w:numPr>
        <w:spacing w:after="50" w:line="258" w:lineRule="auto"/>
      </w:pPr>
      <w:r>
        <w:t>decubitus (30%)</w:t>
      </w:r>
    </w:p>
    <w:p w14:paraId="2F7E7484" w14:textId="77777777" w:rsidR="00F447C2" w:rsidRDefault="00000000">
      <w:pPr>
        <w:spacing w:after="120" w:line="264" w:lineRule="auto"/>
      </w:pPr>
      <w:r>
        <w:t>De evolutie is meestal gunstig binnen 3 tot 5 dagen (overleving 55 tot 70%), al hervalt ongeveer 30% één tot anderhalve week na een eerste verbetering. Van de overlevers herstelt 60 à 90% volledig; de rest houdt blijvende neurologische letsels over. Denk differentiaaldiagnostisch ook aan EHV-1, atypische myopathie, hypocalcemie, botulisme, grass sickness, EMND, hepato-encefalopathie, trauma, mycotoxines, hondsdolheid en andere ernstige systemische aandoeningen.</w:t>
      </w:r>
    </w:p>
    <w:p w14:paraId="2148A593" w14:textId="77777777" w:rsidR="00F447C2" w:rsidRDefault="00000000">
      <w:pPr>
        <w:pStyle w:val="Kop2"/>
        <w:spacing w:before="200" w:after="90"/>
      </w:pPr>
      <w:r>
        <w:rPr>
          <w:b/>
          <w:bCs/>
          <w:color w:val="8B1E2D"/>
          <w:sz w:val="23"/>
          <w:szCs w:val="23"/>
        </w:rPr>
        <w:t>Diagnose: let op kruisreactiviteit</w:t>
      </w:r>
    </w:p>
    <w:p w14:paraId="7B04C606" w14:textId="77777777" w:rsidR="00F447C2" w:rsidRDefault="00000000">
      <w:pPr>
        <w:spacing w:after="120" w:line="264" w:lineRule="auto"/>
      </w:pPr>
      <w:r>
        <w:t>Een bloedstaal met IgM/IgG-serologie volstaat meestal als eerste stap. Een liquorpunctie of autopsie is niet strikt noodzakelijk, maar verhoogt de sensitiviteit en specificiteit, zeker post mortem; bij liquoronderzoek is 75 tot 90% van de stalen afwijkend (xanthochromie, verhoogd totaal eiwit, lymfocytaire en plasmocytaire pleiocytose).</w:t>
      </w:r>
    </w:p>
    <w:p w14:paraId="012DDB48" w14:textId="77777777" w:rsidR="00F447C2" w:rsidRDefault="00000000">
      <w:pPr>
        <w:spacing w:after="120" w:line="264" w:lineRule="auto"/>
      </w:pPr>
      <w:r>
        <w:t>Klassieke ELISA-testen op flavivirusantistoffen zijn niet perfect specifiek voor WNV en kunnen kruisreageren met verwante flavivirussen zoals het Usutuvirus. Een ELISA gericht op IgM-antistoffen (IgM antibody capture ELISA) is doorgaans wel een goede indicator van een recente natuurlijke infectie, ook bij gevaccineerde dieren, aangezien vaccinatie zelf slechts een zwakke en voorbijgaande IgM-respons opwekt. Bij twijfel is bevestiging via het referentielabo Sciensano aangewezen.</w:t>
      </w:r>
    </w:p>
    <w:p w14:paraId="5741F973" w14:textId="77777777" w:rsidR="00F447C2" w:rsidRDefault="00000000">
      <w:pPr>
        <w:spacing w:after="120" w:line="264" w:lineRule="auto"/>
      </w:pPr>
      <w:r>
        <w:lastRenderedPageBreak/>
        <w:t>Die voorzichtigheid is gestoeld op ervaring: soortgelijke combinaties van neurologische symptomen en flavivirusantistoffen bleken volgens het FAVV in het verleden al meermaals aspecifieke reacties, zonder onderliggende WNV-infectie. De resultaten van Sciensano zijn dan ook bepalend voor de verdere aanpak van dit dossier.</w:t>
      </w:r>
    </w:p>
    <w:p w14:paraId="190B95A2" w14:textId="77777777" w:rsidR="00F447C2" w:rsidRDefault="00000000">
      <w:pPr>
        <w:pStyle w:val="Kop2"/>
        <w:spacing w:before="200" w:after="90"/>
      </w:pPr>
      <w:r>
        <w:rPr>
          <w:b/>
          <w:bCs/>
          <w:color w:val="8B1E2D"/>
          <w:sz w:val="23"/>
          <w:szCs w:val="23"/>
        </w:rPr>
        <w:t>Meldingsplicht: ook bij twijfel melden</w:t>
      </w:r>
    </w:p>
    <w:p w14:paraId="6C783985" w14:textId="77777777" w:rsidR="00F447C2" w:rsidRDefault="00000000">
      <w:pPr>
        <w:spacing w:after="120" w:line="264" w:lineRule="auto"/>
      </w:pPr>
      <w:r>
        <w:t>Een vermoeden volstaat om te melden: elke verdenking van WNV wordt door de dierenarts gemeld aan de plaatselijke controle-eenheid (PCE/ULC) van het FAVV, een wettelijke verplichting. Enkele aandachtspunten:</w:t>
      </w:r>
    </w:p>
    <w:p w14:paraId="5B43A311" w14:textId="77777777" w:rsidR="00F447C2" w:rsidRDefault="00000000">
      <w:pPr>
        <w:pStyle w:val="Lijstalinea"/>
        <w:numPr>
          <w:ilvl w:val="0"/>
          <w:numId w:val="2"/>
        </w:numPr>
        <w:spacing w:after="50" w:line="258" w:lineRule="auto"/>
      </w:pPr>
      <w:r>
        <w:t>het FAVV neemt de kosten van de analyses door Sciensano op zich; niets wordt aan de klant aangerekend zolang de verdenking correct werd doorgegeven;</w:t>
      </w:r>
    </w:p>
    <w:p w14:paraId="4CD3B7D7" w14:textId="77777777" w:rsidR="00F447C2" w:rsidRDefault="00000000">
      <w:pPr>
        <w:pStyle w:val="Lijstalinea"/>
        <w:numPr>
          <w:ilvl w:val="0"/>
          <w:numId w:val="2"/>
        </w:numPr>
        <w:spacing w:after="50" w:line="258" w:lineRule="auto"/>
      </w:pPr>
      <w:r>
        <w:t>een paard verspreidt het virus zelf niet verder: de viremie is te laag en te kort om een mug opnieuw te infecteren, dus worden geen quarantaine of afmaakmaatregelen genomen tegen een positief dier;</w:t>
      </w:r>
    </w:p>
    <w:p w14:paraId="714085D3" w14:textId="77777777" w:rsidR="00F447C2" w:rsidRDefault="00000000">
      <w:pPr>
        <w:pStyle w:val="Lijstalinea"/>
        <w:numPr>
          <w:ilvl w:val="0"/>
          <w:numId w:val="2"/>
        </w:numPr>
        <w:spacing w:after="50" w:line="258" w:lineRule="auto"/>
      </w:pPr>
      <w:r>
        <w:t>dit is geen scenario zoals bij infectieuze anemie bij paarden (IAE): de vrees voor bedrijfsblokkering of afmaken is hier niet aan de orde.</w:t>
      </w:r>
    </w:p>
    <w:p w14:paraId="535ADDDF" w14:textId="77777777" w:rsidR="00F447C2" w:rsidRDefault="00000000">
      <w:pPr>
        <w:spacing w:after="120" w:line="264" w:lineRule="auto"/>
      </w:pPr>
      <w:r>
        <w:t>Een melding kost dus niemand iets. Wacht niet op klinische zekerheid om ze te doen.</w:t>
      </w:r>
    </w:p>
    <w:p w14:paraId="5FFE9558" w14:textId="77777777" w:rsidR="00F447C2" w:rsidRDefault="00000000">
      <w:pPr>
        <w:pStyle w:val="Kop2"/>
        <w:spacing w:before="200" w:after="90"/>
      </w:pPr>
      <w:r>
        <w:rPr>
          <w:b/>
          <w:bCs/>
          <w:color w:val="8B1E2D"/>
          <w:sz w:val="23"/>
          <w:szCs w:val="23"/>
        </w:rPr>
        <w:t>Wat te zeggen tegen paardenhouders</w:t>
      </w:r>
    </w:p>
    <w:p w14:paraId="44B428EF" w14:textId="77777777" w:rsidR="00F447C2" w:rsidRDefault="00000000">
      <w:pPr>
        <w:spacing w:after="120" w:line="264" w:lineRule="auto"/>
      </w:pPr>
      <w:r>
        <w:t>Muggenbestrijding: het vectorseizoen loopt van mei tot oktober, met een piek van juli tot oktober.</w:t>
      </w:r>
    </w:p>
    <w:p w14:paraId="4E933C1B" w14:textId="77777777" w:rsidR="00F447C2" w:rsidRDefault="00000000">
      <w:pPr>
        <w:pStyle w:val="Lijstalinea"/>
        <w:numPr>
          <w:ilvl w:val="0"/>
          <w:numId w:val="2"/>
        </w:numPr>
        <w:spacing w:after="50" w:line="258" w:lineRule="auto"/>
      </w:pPr>
      <w:r>
        <w:t>vermijd stilstaand water (banden, zeilen, drinkbakken, potten, wagensporen, dakgoten) en dek reservoirs af;</w:t>
      </w:r>
    </w:p>
    <w:p w14:paraId="0175A524" w14:textId="77777777" w:rsidR="00F447C2" w:rsidRDefault="00000000">
      <w:pPr>
        <w:pStyle w:val="Lijstalinea"/>
        <w:numPr>
          <w:ilvl w:val="0"/>
          <w:numId w:val="2"/>
        </w:numPr>
        <w:spacing w:after="50" w:line="258" w:lineRule="auto"/>
      </w:pPr>
      <w:r>
        <w:t>haal paarden binnen tijdens risico-uren (schemering en ochtendgloren); gebruik ventilatoren en muskietennetten;</w:t>
      </w:r>
    </w:p>
    <w:p w14:paraId="194CF494" w14:textId="77777777" w:rsidR="00F447C2" w:rsidRDefault="00000000">
      <w:pPr>
        <w:pStyle w:val="Lijstalinea"/>
        <w:numPr>
          <w:ilvl w:val="0"/>
          <w:numId w:val="2"/>
        </w:numPr>
        <w:spacing w:after="50" w:line="258" w:lineRule="auto"/>
      </w:pPr>
      <w:r>
        <w:t>vliegendekens, repellents, insecticiden (pyrethrinoïden als spray, pour-on of oorschijfjes).</w:t>
      </w:r>
    </w:p>
    <w:p w14:paraId="384F8279" w14:textId="77777777" w:rsidR="00F447C2" w:rsidRDefault="00000000">
      <w:pPr>
        <w:spacing w:after="120" w:line="264" w:lineRule="auto"/>
      </w:pPr>
      <w:r>
        <w:t>Vaccinatie: twee vaccins zijn beschikbaar in België, elk met een eigen opbouwtermijn:</w:t>
      </w:r>
    </w:p>
    <w:p w14:paraId="5D4D1D7B" w14:textId="77777777" w:rsidR="00F447C2" w:rsidRDefault="00000000">
      <w:pPr>
        <w:pStyle w:val="Lijstalinea"/>
        <w:numPr>
          <w:ilvl w:val="0"/>
          <w:numId w:val="2"/>
        </w:numPr>
        <w:spacing w:after="50" w:line="258" w:lineRule="auto"/>
      </w:pPr>
      <w:r>
        <w:t>Proteq West Nile (recombinant canarypox, vanaf 5 maanden): 2 doses met 4 tot 6 weken interval, immuniteit vanaf 4 weken na de eerste dosis (volledige bescherming pas na de tweede dosis), beschermingsduur 1 jaar;</w:t>
      </w:r>
    </w:p>
    <w:p w14:paraId="7270DEC8" w14:textId="77777777" w:rsidR="00F447C2" w:rsidRDefault="00000000">
      <w:pPr>
        <w:pStyle w:val="Lijstalinea"/>
        <w:numPr>
          <w:ilvl w:val="0"/>
          <w:numId w:val="2"/>
        </w:numPr>
        <w:spacing w:after="50" w:line="258" w:lineRule="auto"/>
      </w:pPr>
      <w:r>
        <w:t>Equip WNV (geïnactiveerd, vanaf 6 maanden): 2 doses met 3 tot 5 weken interval, immuniteit 3 weken na de volledige basisvaccinatie, beschermingsduur 12 maanden voor lijn 1, niet vastgesteld voor lijn 2.</w:t>
      </w:r>
    </w:p>
    <w:p w14:paraId="6F1F9C75" w14:textId="77777777" w:rsidR="00F447C2" w:rsidRDefault="00000000">
      <w:pPr>
        <w:spacing w:after="120" w:line="264" w:lineRule="auto"/>
      </w:pPr>
      <w:r>
        <w:t>Een paard dat nu wordt gevaccineerd, is dus tegen begin september (eerste protocol) tot half september (tweede protocol) beschermd, nog steeds binnen het risicoseizoen. Combineer vaccinatie met muggenbescherming tijdens de opbouwperiode van de immuniteit.</w:t>
      </w:r>
    </w:p>
    <w:p w14:paraId="2AC233CF" w14:textId="77777777" w:rsidR="00F447C2" w:rsidRDefault="00000000">
      <w:pPr>
        <w:pStyle w:val="Kop2"/>
        <w:spacing w:before="200" w:after="90"/>
      </w:pPr>
      <w:r>
        <w:rPr>
          <w:b/>
          <w:bCs/>
          <w:color w:val="8B1E2D"/>
          <w:sz w:val="23"/>
          <w:szCs w:val="23"/>
        </w:rPr>
        <w:t>Verhoog de waakzaamheid in de praktijk</w:t>
      </w:r>
    </w:p>
    <w:p w14:paraId="774A570D" w14:textId="77777777" w:rsidR="00F447C2" w:rsidRDefault="00000000">
      <w:pPr>
        <w:spacing w:after="120" w:line="264" w:lineRule="auto"/>
      </w:pPr>
      <w:r>
        <w:t>Herken de neurologische tekens snel, verlaag de drempel om te melden bij twijfel, en informeer paardenhouders over muggenbescherming en vaccinatie. Zo dragen dierenartsen, net als de paarden zelf, bij aan de vroege opsporing van WNV in België.</w:t>
      </w:r>
    </w:p>
    <w:p w14:paraId="79FA792B" w14:textId="279E0D47" w:rsidR="00F447C2" w:rsidRDefault="00F447C2">
      <w:pPr>
        <w:pBdr>
          <w:top w:val="single" w:sz="6" w:space="8" w:color="CCCCCC"/>
        </w:pBdr>
        <w:spacing w:before="220"/>
      </w:pPr>
    </w:p>
    <w:sectPr w:rsidR="00F447C2">
      <w:pgSz w:w="11906" w:h="16838"/>
      <w:pgMar w:top="700" w:right="1000" w:bottom="700" w:left="10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A0C56F1"/>
    <w:multiLevelType w:val="hybridMultilevel"/>
    <w:tmpl w:val="62107790"/>
    <w:lvl w:ilvl="0" w:tplc="57BC34D0">
      <w:start w:val="1"/>
      <w:numFmt w:val="bullet"/>
      <w:lvlText w:val="●"/>
      <w:lvlJc w:val="left"/>
      <w:pPr>
        <w:ind w:left="720" w:hanging="360"/>
      </w:pPr>
    </w:lvl>
    <w:lvl w:ilvl="1" w:tplc="79B81A8A">
      <w:start w:val="1"/>
      <w:numFmt w:val="bullet"/>
      <w:lvlText w:val="○"/>
      <w:lvlJc w:val="left"/>
      <w:pPr>
        <w:ind w:left="1440" w:hanging="360"/>
      </w:pPr>
    </w:lvl>
    <w:lvl w:ilvl="2" w:tplc="AA785166">
      <w:start w:val="1"/>
      <w:numFmt w:val="bullet"/>
      <w:lvlText w:val="■"/>
      <w:lvlJc w:val="left"/>
      <w:pPr>
        <w:ind w:left="2160" w:hanging="360"/>
      </w:pPr>
    </w:lvl>
    <w:lvl w:ilvl="3" w:tplc="0E8EE07C">
      <w:start w:val="1"/>
      <w:numFmt w:val="bullet"/>
      <w:lvlText w:val="●"/>
      <w:lvlJc w:val="left"/>
      <w:pPr>
        <w:ind w:left="2880" w:hanging="360"/>
      </w:pPr>
    </w:lvl>
    <w:lvl w:ilvl="4" w:tplc="ADC638E0">
      <w:start w:val="1"/>
      <w:numFmt w:val="bullet"/>
      <w:lvlText w:val="○"/>
      <w:lvlJc w:val="left"/>
      <w:pPr>
        <w:ind w:left="3600" w:hanging="360"/>
      </w:pPr>
    </w:lvl>
    <w:lvl w:ilvl="5" w:tplc="33D287AC">
      <w:start w:val="1"/>
      <w:numFmt w:val="bullet"/>
      <w:lvlText w:val="■"/>
      <w:lvlJc w:val="left"/>
      <w:pPr>
        <w:ind w:left="4320" w:hanging="360"/>
      </w:pPr>
    </w:lvl>
    <w:lvl w:ilvl="6" w:tplc="5F6E57E6">
      <w:start w:val="1"/>
      <w:numFmt w:val="bullet"/>
      <w:lvlText w:val="●"/>
      <w:lvlJc w:val="left"/>
      <w:pPr>
        <w:ind w:left="5040" w:hanging="360"/>
      </w:pPr>
    </w:lvl>
    <w:lvl w:ilvl="7" w:tplc="647E9408">
      <w:start w:val="1"/>
      <w:numFmt w:val="bullet"/>
      <w:lvlText w:val="●"/>
      <w:lvlJc w:val="left"/>
      <w:pPr>
        <w:ind w:left="5760" w:hanging="360"/>
      </w:pPr>
    </w:lvl>
    <w:lvl w:ilvl="8" w:tplc="9594DCAA">
      <w:start w:val="1"/>
      <w:numFmt w:val="bullet"/>
      <w:lvlText w:val="●"/>
      <w:lvlJc w:val="left"/>
      <w:pPr>
        <w:ind w:left="6480" w:hanging="360"/>
      </w:pPr>
    </w:lvl>
  </w:abstractNum>
  <w:abstractNum w:abstractNumId="1" w15:restartNumberingAfterBreak="0">
    <w:nsid w:val="727F55DC"/>
    <w:multiLevelType w:val="hybridMultilevel"/>
    <w:tmpl w:val="220CA30E"/>
    <w:lvl w:ilvl="0" w:tplc="D68C68A8">
      <w:start w:val="1"/>
      <w:numFmt w:val="bullet"/>
      <w:lvlText w:val="•"/>
      <w:lvlJc w:val="left"/>
      <w:pPr>
        <w:ind w:left="360" w:hanging="260"/>
      </w:pPr>
    </w:lvl>
    <w:lvl w:ilvl="1" w:tplc="8DE4F500">
      <w:numFmt w:val="decimal"/>
      <w:lvlText w:val=""/>
      <w:lvlJc w:val="left"/>
    </w:lvl>
    <w:lvl w:ilvl="2" w:tplc="8460F266">
      <w:numFmt w:val="decimal"/>
      <w:lvlText w:val=""/>
      <w:lvlJc w:val="left"/>
    </w:lvl>
    <w:lvl w:ilvl="3" w:tplc="B6C8991E">
      <w:numFmt w:val="decimal"/>
      <w:lvlText w:val=""/>
      <w:lvlJc w:val="left"/>
    </w:lvl>
    <w:lvl w:ilvl="4" w:tplc="99106714">
      <w:numFmt w:val="decimal"/>
      <w:lvlText w:val=""/>
      <w:lvlJc w:val="left"/>
    </w:lvl>
    <w:lvl w:ilvl="5" w:tplc="D5D03C42">
      <w:numFmt w:val="decimal"/>
      <w:lvlText w:val=""/>
      <w:lvlJc w:val="left"/>
    </w:lvl>
    <w:lvl w:ilvl="6" w:tplc="0A06F12A">
      <w:numFmt w:val="decimal"/>
      <w:lvlText w:val=""/>
      <w:lvlJc w:val="left"/>
    </w:lvl>
    <w:lvl w:ilvl="7" w:tplc="A12A6064">
      <w:numFmt w:val="decimal"/>
      <w:lvlText w:val=""/>
      <w:lvlJc w:val="left"/>
    </w:lvl>
    <w:lvl w:ilvl="8" w:tplc="4A6C729A">
      <w:numFmt w:val="decimal"/>
      <w:lvlText w:val=""/>
      <w:lvlJc w:val="left"/>
    </w:lvl>
  </w:abstractNum>
  <w:num w:numId="1" w16cid:durableId="1663697297">
    <w:abstractNumId w:val="0"/>
    <w:lvlOverride w:ilvl="0">
      <w:startOverride w:val="1"/>
    </w:lvlOverride>
  </w:num>
  <w:num w:numId="2" w16cid:durableId="152116110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C2"/>
    <w:rsid w:val="00491703"/>
    <w:rsid w:val="008F6768"/>
    <w:rsid w:val="00A17ABA"/>
    <w:rsid w:val="00F447C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359E8DE"/>
  <w15:docId w15:val="{8BEDD54D-9ED8-DD4E-9B39-FE84230E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1025</Words>
  <Characters>5752</Characters>
  <Application>Microsoft Office Word</Application>
  <DocSecurity>0</DocSecurity>
  <Lines>159</Lines>
  <Paragraphs>74</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 De Beul</cp:lastModifiedBy>
  <cp:revision>3</cp:revision>
  <dcterms:created xsi:type="dcterms:W3CDTF">2026-08-07T07:31:00Z</dcterms:created>
  <dcterms:modified xsi:type="dcterms:W3CDTF">2026-08-07T07:40:00Z</dcterms:modified>
</cp:coreProperties>
</file>